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BA" w:rsidRDefault="001465BA" w:rsidP="00AF64FC">
      <w:pPr>
        <w:jc w:val="center"/>
        <w:rPr>
          <w:b/>
          <w:sz w:val="28"/>
          <w:szCs w:val="28"/>
        </w:rPr>
      </w:pPr>
    </w:p>
    <w:p w:rsidR="001465BA" w:rsidRPr="00FB3B2D" w:rsidRDefault="001465BA" w:rsidP="001465BA">
      <w:pPr>
        <w:jc w:val="center"/>
      </w:pPr>
      <w:r w:rsidRPr="00FB3B2D">
        <w:t>SISTEMA DE INCENTIVOS AO EMPREENDEDORISMO E AO EMPREGO (SI2E)</w:t>
      </w:r>
    </w:p>
    <w:p w:rsidR="001465BA" w:rsidRPr="001465BA" w:rsidRDefault="001465BA" w:rsidP="00AF64FC">
      <w:pPr>
        <w:jc w:val="center"/>
        <w:rPr>
          <w:b/>
        </w:rPr>
      </w:pPr>
    </w:p>
    <w:p w:rsidR="00401EFD" w:rsidRDefault="00401EFD" w:rsidP="00AF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H</w:t>
      </w:r>
    </w:p>
    <w:p w:rsidR="001465BA" w:rsidRPr="001465BA" w:rsidRDefault="001465BA" w:rsidP="001465BA">
      <w:pPr>
        <w:jc w:val="center"/>
        <w:rPr>
          <w:b/>
        </w:rPr>
      </w:pPr>
    </w:p>
    <w:p w:rsidR="004F7199" w:rsidRDefault="001465BA" w:rsidP="001465BA">
      <w:pPr>
        <w:jc w:val="center"/>
        <w:rPr>
          <w:b/>
          <w:sz w:val="28"/>
          <w:szCs w:val="28"/>
        </w:rPr>
      </w:pPr>
      <w:r w:rsidRPr="001465BA">
        <w:rPr>
          <w:b/>
          <w:sz w:val="28"/>
          <w:szCs w:val="28"/>
        </w:rPr>
        <w:t>DOMÍNIOS PRIORITÁRIOS DA ESTRATÉGIA DE ESPECIALIZAÇÃO INTELIGENTE DA REGIÃO DO NORTE (RIS3)</w:t>
      </w: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>A concretização da Estratégia de Especialização Inteligente da Região do Norte</w:t>
      </w:r>
      <w:r w:rsidRPr="001465BA">
        <w:rPr>
          <w:rStyle w:val="Refdenotaderodap"/>
          <w:rFonts w:ascii="Calibri Light" w:hAnsi="Calibri Light"/>
        </w:rPr>
        <w:footnoteReference w:id="1"/>
      </w:r>
      <w:r w:rsidRPr="001465BA">
        <w:rPr>
          <w:rFonts w:ascii="Calibri Light" w:hAnsi="Calibri Light"/>
        </w:rPr>
        <w:t>, fundada nas características distintivas e no potencial existente e emergente de afirmação competitiva internacional, baseou-se numa avaliação da massa crítica científica regional, da base empresarial e da existência e potencial de articulação com utilizadores avançados. Pretendeu-se identificar domínios onde se concentre massa crítica relevante e reais e potenciais interações entre entidades do sistema científico e tecnológico, produtores de tecnologia e utilizadores avançados.</w:t>
      </w: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>Este racional, sintetizado na figura seguinte, orientou, assim, a construção da estratégia de especialização inteligente da Região do Norte.</w:t>
      </w:r>
    </w:p>
    <w:p w:rsidR="001465BA" w:rsidRPr="001465BA" w:rsidRDefault="001465BA" w:rsidP="001465BA">
      <w:pPr>
        <w:spacing w:before="240"/>
        <w:jc w:val="center"/>
        <w:rPr>
          <w:rFonts w:ascii="Calibri Light" w:hAnsi="Calibri Light"/>
        </w:rPr>
      </w:pPr>
      <w:r w:rsidRPr="001465BA">
        <w:rPr>
          <w:rFonts w:ascii="Calibri Light" w:hAnsi="Calibri Light"/>
          <w:noProof/>
          <w:lang w:eastAsia="pt-PT"/>
        </w:rPr>
        <w:drawing>
          <wp:inline distT="0" distB="0" distL="0" distR="0" wp14:anchorId="7F104721" wp14:editId="2E85C3C9">
            <wp:extent cx="3761740" cy="28835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5BA" w:rsidRPr="001465BA" w:rsidRDefault="001465BA" w:rsidP="001465BA">
      <w:pPr>
        <w:spacing w:before="240"/>
        <w:jc w:val="center"/>
        <w:rPr>
          <w:rFonts w:ascii="Calibri Light" w:hAnsi="Calibri Light"/>
        </w:rPr>
      </w:pPr>
      <w:r w:rsidRPr="001465BA">
        <w:rPr>
          <w:rFonts w:ascii="Calibri Light" w:hAnsi="Calibri Light"/>
        </w:rPr>
        <w:t>Figura: Referencial teórico para a definição dos domínios prioritários</w:t>
      </w: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 xml:space="preserve">Esta avaliação traduziu-se na identificação de oito domínios prioritários e correspondentes racionais. No centro da Estratégia de Especialização Inteligente da Região do Norte estão considerados quatro domínios nucleares, designadamente, “Cultura, Criação e Moda”, “Indústrias da Mobilidade e Ambiente”, “Sistemas Avançados de Produção” e “Sistemas Agroambientais e Alimentação”. Os domínios classificados como emergentes são as “Ciências da vida e saúde” e “Capital simbólico, tecnologias e serviços do turismo”. Por último, são como como apostas </w:t>
      </w:r>
      <w:r w:rsidRPr="001465BA">
        <w:rPr>
          <w:rFonts w:ascii="Calibri Light" w:hAnsi="Calibri Light"/>
        </w:rPr>
        <w:lastRenderedPageBreak/>
        <w:t>regionais (wild-card), áreas de aposta de maior risco, os domínios “Recursos do mar e economia” e “Capital humano e serviços especializados”.</w:t>
      </w:r>
    </w:p>
    <w:p w:rsidR="001465BA" w:rsidRPr="001465BA" w:rsidRDefault="001465BA" w:rsidP="001465BA">
      <w:pPr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>Para cada domínio prioritário da RIS3, foi estabelecido um racional e um diagrama de suporte que ilustra as atividades económicas enquadradas para a concretização do racional preconizado. As atividades económicas encontram-se inseridas na Base Empresarial, estabelecendo relações, a montante, com os Recursos e Ativos e, a jusante, com os Utilizadores Avançados.</w:t>
      </w: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 xml:space="preserve">Tratando-se de Sistemas de Incentivos e, deste modo, de apoio a empresas, o enquadramento de um projeto na RIS3 tem de considerar a relevância do seu perfil setorial de atividade económica para a Base Empresarial do domínio prioritário estabelecido ou a sua incidência sobre um Recurso e Ativo estabelecido no racional do domínio prioritário cujo foco são as atividades económicas da Base Empresarial do respetivo racional; a não ser que se trate de domínios prioritários em que predominem Recursos e Ativos de carácter simbólico e identitário, isto é, ativos intensivos em território, em que o enquadramento de uma dada atividade económica na Base Empresarial só se justifica, nos termos do respetivo racional, quando contribuir para a valorização desses Recursos e Ativos. </w:t>
      </w:r>
    </w:p>
    <w:p w:rsidR="001465BA" w:rsidRPr="001465BA" w:rsidRDefault="001465BA" w:rsidP="001465BA">
      <w:pPr>
        <w:spacing w:before="240"/>
        <w:jc w:val="both"/>
        <w:rPr>
          <w:rFonts w:ascii="Calibri Light" w:hAnsi="Calibri Light"/>
        </w:rPr>
      </w:pPr>
      <w:r w:rsidRPr="001465BA">
        <w:rPr>
          <w:rFonts w:ascii="Calibri Light" w:hAnsi="Calibri Light"/>
        </w:rPr>
        <w:t xml:space="preserve">Nos quadros seguintes encontram-se descritas as áreas que sustentam o racional de cada um dos domínios de especialização inteligente, considerando os seus recursos e ativos, a sua base empresarial e as dimensões da procura. </w:t>
      </w:r>
    </w:p>
    <w:tbl>
      <w:tblPr>
        <w:tblStyle w:val="Tabelacomgrelha"/>
        <w:tblW w:w="8731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8720"/>
        <w:gridCol w:w="11"/>
      </w:tblGrid>
      <w:tr w:rsidR="001465BA" w:rsidRPr="001465BA" w:rsidTr="00113BFC">
        <w:trPr>
          <w:gridAfter w:val="1"/>
          <w:wAfter w:w="11" w:type="dxa"/>
          <w:trHeight w:val="283"/>
        </w:trPr>
        <w:tc>
          <w:tcPr>
            <w:tcW w:w="8720" w:type="dxa"/>
            <w:shd w:val="clear" w:color="auto" w:fill="222A35" w:themeFill="text2" w:themeFillShade="80"/>
            <w:vAlign w:val="center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hAnsi="Calibri Light"/>
                <w:b/>
                <w:color w:val="FFFFFF" w:themeColor="background1"/>
                <w:u w:val="single"/>
              </w:rPr>
            </w:pP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CULTURA, CRIAÇÃO E MODA</w:t>
            </w:r>
          </w:p>
        </w:tc>
      </w:tr>
      <w:tr w:rsidR="001465BA" w:rsidRPr="001465BA" w:rsidTr="00113BFC">
        <w:trPr>
          <w:trHeight w:val="454"/>
        </w:trPr>
        <w:tc>
          <w:tcPr>
            <w:tcW w:w="8731" w:type="dxa"/>
            <w:gridSpan w:val="2"/>
            <w:shd w:val="clear" w:color="auto" w:fill="auto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noProof/>
                <w:color w:val="5B9BD5" w:themeColor="accent1"/>
                <w:sz w:val="22"/>
                <w:szCs w:val="22"/>
                <w:lang w:eastAsia="pt-PT"/>
              </w:rPr>
              <w:drawing>
                <wp:inline distT="0" distB="0" distL="0" distR="0" wp14:anchorId="5CB4C72A" wp14:editId="1E498B99">
                  <wp:extent cx="3612855" cy="3420000"/>
                  <wp:effectExtent l="0" t="0" r="6985" b="0"/>
                  <wp:docPr id="66" name="Imagem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855" cy="34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BA" w:rsidRPr="001465BA" w:rsidTr="00113BFC">
        <w:trPr>
          <w:gridAfter w:val="1"/>
          <w:wAfter w:w="11" w:type="dxa"/>
          <w:trHeight w:val="283"/>
        </w:trPr>
        <w:tc>
          <w:tcPr>
            <w:tcW w:w="8720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rPr>
          <w:gridAfter w:val="1"/>
          <w:wAfter w:w="11" w:type="dxa"/>
        </w:trPr>
        <w:tc>
          <w:tcPr>
            <w:tcW w:w="8720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Exploração das indústrias criativas (sobretudo nas áreas de design e arquitetura), de novos materiais e de tecnologias de produção inovadoras, na criação de novas vantagens competitivas em setores ligados à produção de bens de consumo com uma forte componente de </w:t>
            </w:r>
            <w:proofErr w:type="gram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design</w:t>
            </w:r>
            <w:proofErr w:type="gram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 (design </w:t>
            </w:r>
            <w:proofErr w:type="spell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based</w:t>
            </w:r>
            <w:proofErr w:type="spell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consumer</w:t>
            </w:r>
            <w:proofErr w:type="spell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goods</w:t>
            </w:r>
            <w:proofErr w:type="spell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), nomeadamente o têxtil e vestuário, calçado, acessórios, mobiliário, joalharia, etc.</w:t>
            </w:r>
          </w:p>
        </w:tc>
      </w:tr>
    </w:tbl>
    <w:p w:rsidR="001465BA" w:rsidRDefault="001465BA" w:rsidP="001465BA">
      <w:pPr>
        <w:rPr>
          <w:rFonts w:ascii="Calibri Light" w:hAnsi="Calibri Light"/>
        </w:rPr>
      </w:pPr>
    </w:p>
    <w:p w:rsidR="001D1C9D" w:rsidRPr="001465BA" w:rsidRDefault="001D1C9D" w:rsidP="001465BA">
      <w:pPr>
        <w:rPr>
          <w:rFonts w:ascii="Calibri Light" w:hAnsi="Calibri Light"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eastAsia="Calibri" w:hAnsi="Calibri Light"/>
                <w:b/>
                <w:color w:val="FFFFFF" w:themeColor="background1"/>
              </w:rPr>
            </w:pPr>
            <w:r w:rsidRPr="001465BA">
              <w:rPr>
                <w:rFonts w:ascii="Calibri Light" w:hAnsi="Calibri Light"/>
                <w:b/>
              </w:rPr>
              <w:br w:type="page"/>
            </w: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INDÚSTRIAS DA MOBILIDADE E AMBIENTE</w:t>
            </w:r>
          </w:p>
        </w:tc>
      </w:tr>
      <w:tr w:rsidR="001465BA" w:rsidRPr="001465BA" w:rsidTr="00113BFC">
        <w:tc>
          <w:tcPr>
            <w:tcW w:w="9067" w:type="dxa"/>
            <w:vAlign w:val="center"/>
          </w:tcPr>
          <w:p w:rsidR="001465BA" w:rsidRPr="001465BA" w:rsidRDefault="001465BA" w:rsidP="00113BFC">
            <w:pPr>
              <w:pStyle w:val="2texto"/>
              <w:jc w:val="center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noProof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49024" behindDoc="1" locked="0" layoutInCell="1" allowOverlap="1" wp14:anchorId="067D314C" wp14:editId="0BD8D361">
                  <wp:simplePos x="1152525" y="12001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615993" cy="3420000"/>
                  <wp:effectExtent l="0" t="0" r="3810" b="0"/>
                  <wp:wrapSquare wrapText="bothSides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993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Aproveitamento das competências científicas nas áreas das tecnologias de produção e dos materiais, potenciadas pelos contratos de fornecimento com a Airbus e Embraer, para a promoção do </w:t>
            </w:r>
            <w:proofErr w:type="gram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upgrade</w:t>
            </w:r>
            <w:proofErr w:type="gram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 das indústrias de componentes de automóveis e de moldes, tendo em vista o fornecimento de clientes mais exigentes nas especificações técnicas, nomeadamente na área da aeronáutica.</w:t>
            </w:r>
          </w:p>
        </w:tc>
      </w:tr>
    </w:tbl>
    <w:p w:rsidR="001465BA" w:rsidRPr="001465BA" w:rsidRDefault="001465BA" w:rsidP="001465BA">
      <w:pPr>
        <w:spacing w:after="0"/>
        <w:rPr>
          <w:rFonts w:ascii="Calibri Light" w:hAnsi="Calibri Light"/>
          <w:b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eastAsia="Calibri" w:hAnsi="Calibri Light"/>
                <w:b/>
                <w:color w:val="FFFFFF" w:themeColor="background1"/>
              </w:rPr>
            </w:pPr>
            <w:r w:rsidRPr="001465BA">
              <w:rPr>
                <w:rFonts w:ascii="Calibri Light" w:hAnsi="Calibri Light"/>
                <w:b/>
              </w:rPr>
              <w:br w:type="page"/>
            </w: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SISTEMAS AVANÇADOS DE PRODUÇÃO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Calibri" w:hAnsi="Calibri Light"/>
                <w:b/>
                <w:noProof/>
                <w:color w:val="5B9BD5" w:themeColor="accent1"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53120" behindDoc="0" locked="0" layoutInCell="1" allowOverlap="1" wp14:anchorId="1831EE82" wp14:editId="4E97A28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624161" cy="3420000"/>
                  <wp:effectExtent l="0" t="0" r="0" b="0"/>
                  <wp:wrapSquare wrapText="bothSides"/>
                  <wp:docPr id="70" name="Imagem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161" cy="34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Desenvolvimento de fileiras associadas às Tecnologias de Largo Espectro, nomeadamente os Sistemas de Produção Avançados, Nanotecnologias, Materiais e TICE, conjugando a existência de capacidades e infraestruturas cientificas e tecnológicas, e de setores utilizadores relevantes, através do reforço do tecido empresarial existente (no caso das tecnologias de produção e das TICE) ou da criação de novas empresas (sobretudo na área da nanotecnologia e da produção de novos materiais).</w:t>
            </w:r>
          </w:p>
        </w:tc>
      </w:tr>
    </w:tbl>
    <w:p w:rsidR="001465BA" w:rsidRPr="001465BA" w:rsidRDefault="001465BA" w:rsidP="001465BA">
      <w:pPr>
        <w:spacing w:after="0"/>
        <w:rPr>
          <w:rFonts w:ascii="Calibri Light" w:hAnsi="Calibri Light"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eastAsia="Calibri" w:hAnsi="Calibri Light"/>
                <w:b/>
                <w:color w:val="FFFFFF" w:themeColor="background1"/>
              </w:rPr>
            </w:pPr>
            <w:r w:rsidRPr="001465BA">
              <w:rPr>
                <w:rFonts w:ascii="Calibri Light" w:hAnsi="Calibri Light"/>
                <w:b/>
              </w:rPr>
              <w:br w:type="page"/>
            </w: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SISTEMAS AGROAMBIENTAIS E ALIMENTAÇÃO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noProof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57216" behindDoc="1" locked="0" layoutInCell="1" allowOverlap="1" wp14:anchorId="2A4302D1" wp14:editId="67CFC35F">
                  <wp:simplePos x="1104900" y="9144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623981" cy="3420000"/>
                  <wp:effectExtent l="0" t="0" r="0" b="0"/>
                  <wp:wrapSquare wrapText="bothSides"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981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</w:p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Articulação do potencial agrícola regional em produtos de elevado valor acrescentado (vinho, azeite, castanha, etc.) com competências científicas e tecnológicas (enologia, engenharia, biologia, biotecnologia, etc.) e empresariais (leite e derivados, vitivinicultura, etc.) para o desenvolvimento de produtos associados, nomeadamente à alimentação funcional e à gastronomia local, e destinados a segmentos de procura mais dinâmicos</w:t>
            </w:r>
          </w:p>
        </w:tc>
      </w:tr>
    </w:tbl>
    <w:p w:rsidR="001465BA" w:rsidRDefault="001465BA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Pr="001465BA" w:rsidRDefault="001D1C9D" w:rsidP="001465BA">
      <w:pPr>
        <w:spacing w:after="0"/>
        <w:rPr>
          <w:rFonts w:ascii="Calibri Light" w:hAnsi="Calibri Light"/>
          <w:b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  <w:vAlign w:val="center"/>
          </w:tcPr>
          <w:p w:rsidR="001465BA" w:rsidRPr="001465BA" w:rsidRDefault="001465BA" w:rsidP="00113BFC">
            <w:pPr>
              <w:spacing w:before="60" w:after="60"/>
              <w:jc w:val="center"/>
              <w:rPr>
                <w:rFonts w:ascii="Calibri Light" w:hAnsi="Calibri Light"/>
                <w:b/>
                <w:color w:val="FFFFFF" w:themeColor="background1"/>
                <w:u w:val="single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</w:rPr>
              <w:t>CIÊNCIAS DA VIDA E SAÚDE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jc w:val="center"/>
              <w:rPr>
                <w:rFonts w:ascii="Calibri Light" w:hAnsi="Calibri Light"/>
                <w:b/>
                <w:u w:val="single"/>
              </w:rPr>
            </w:pPr>
            <w:r w:rsidRPr="001465BA">
              <w:rPr>
                <w:rFonts w:ascii="Calibri Light" w:hAnsi="Calibri Light"/>
                <w:noProof/>
                <w:lang w:eastAsia="pt-PT"/>
              </w:rPr>
              <w:drawing>
                <wp:inline distT="0" distB="0" distL="0" distR="0" wp14:anchorId="2886FD3D" wp14:editId="5DADCBF3">
                  <wp:extent cx="3393364" cy="3420000"/>
                  <wp:effectExtent l="0" t="0" r="0" b="0"/>
                  <wp:docPr id="5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36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hAnsi="Calibri Light"/>
                <w:b/>
                <w:color w:val="FFFFFF" w:themeColor="background1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  <w:vAlign w:val="center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Consolidação das dinâmicas de articulação entre a investigação regional (nomeadamente, ao nível da engenharia de tecidos, do cancro, das neurociências e do desenvolvimento das técnicas cirúrgicas) e as empresas nas indústrias e serviços na área da saúde em sentido amplo (farmacêutica, dispositivos médicos, prestação de serviços saúde, turismo de saúde e bem-estar e cosmética).</w:t>
            </w:r>
          </w:p>
        </w:tc>
        <w:bookmarkStart w:id="0" w:name="_GoBack"/>
        <w:bookmarkEnd w:id="0"/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eastAsia="Calibri" w:hAnsi="Calibri Light"/>
                <w:b/>
                <w:color w:val="FFFFFF" w:themeColor="background1"/>
              </w:rPr>
            </w:pP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CAPITAL SIMBÓLICO, TECNOLOGIAS E SERVIÇOS DO TURISMO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noProof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61312" behindDoc="1" locked="0" layoutInCell="1" allowOverlap="1" wp14:anchorId="6F760B5B" wp14:editId="1E9E9959">
                  <wp:simplePos x="1133475" y="1533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959860" cy="3627755"/>
                  <wp:effectExtent l="0" t="0" r="2540" b="0"/>
                  <wp:wrapSquare wrapText="bothSides"/>
                  <wp:docPr id="49" name="Imagem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860" cy="362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Valorização de recursos culturais e intensivos em território, aproveitando as capacidades científicas e tecnológicas, nomeadamente nas áreas da gestão, marketing e TIC, e a oferta turística relevante, promovendo percursos e itinerâncias como forma de aproveitamento das principais infraestruturas de entrada de visitantes.</w:t>
            </w:r>
          </w:p>
        </w:tc>
      </w:tr>
    </w:tbl>
    <w:p w:rsidR="001465BA" w:rsidRPr="001465BA" w:rsidRDefault="001465BA" w:rsidP="001465BA">
      <w:pPr>
        <w:spacing w:after="0"/>
        <w:rPr>
          <w:rFonts w:ascii="Calibri Light" w:hAnsi="Calibri Light"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  <w:vAlign w:val="center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hAnsi="Calibri Light"/>
                <w:b/>
                <w:color w:val="FFFFFF" w:themeColor="background1"/>
                <w:u w:val="single"/>
              </w:rPr>
            </w:pP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RECURSOS DO MAR E ECONOMIA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noProof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65408" behindDoc="1" locked="0" layoutInCell="1" allowOverlap="1" wp14:anchorId="456DA567" wp14:editId="1A6F317E">
                  <wp:simplePos x="1143000" y="15430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869215" cy="3420000"/>
                  <wp:effectExtent l="0" t="0" r="0" b="0"/>
                  <wp:wrapSquare wrapText="bothSides"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21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eastAsia="Times New Roman" w:hAnsi="Calibri Light"/>
                <w:b/>
                <w:color w:val="FFFFFF" w:themeColor="background1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Estabelecimento de relações de articulação entre engenharias aplicadas (civil, mecânica, naval, robótica, energia, biociências e tecnologias de informação, materiais), recursos do mar (vento, ondas, algas, praias, </w:t>
            </w:r>
            <w:proofErr w:type="spell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etc</w:t>
            </w:r>
            <w:proofErr w:type="spell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) e atividades económicas que os valorizem (construção naval, produção de energia em offshore, construção de plataformas, turismo náutico, biocombustíveis, alimentação e aquacultura em offshore, </w:t>
            </w:r>
            <w:proofErr w:type="spell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etc</w:t>
            </w:r>
            <w:proofErr w:type="spell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).</w:t>
            </w:r>
          </w:p>
        </w:tc>
      </w:tr>
    </w:tbl>
    <w:p w:rsidR="001465BA" w:rsidRDefault="001465BA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Default="001D1C9D" w:rsidP="001465BA">
      <w:pPr>
        <w:spacing w:after="0"/>
        <w:rPr>
          <w:rFonts w:ascii="Calibri Light" w:hAnsi="Calibri Light"/>
          <w:b/>
        </w:rPr>
      </w:pPr>
    </w:p>
    <w:p w:rsidR="001D1C9D" w:rsidRPr="001465BA" w:rsidRDefault="001D1C9D" w:rsidP="001465BA">
      <w:pPr>
        <w:spacing w:after="0"/>
        <w:rPr>
          <w:rFonts w:ascii="Calibri Light" w:hAnsi="Calibri Light"/>
          <w:b/>
        </w:rPr>
      </w:pPr>
    </w:p>
    <w:tbl>
      <w:tblPr>
        <w:tblStyle w:val="Tabelacomgrelha"/>
        <w:tblW w:w="906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222A35" w:themeFill="text2" w:themeFillShade="80"/>
            <w:vAlign w:val="center"/>
          </w:tcPr>
          <w:p w:rsidR="001465BA" w:rsidRPr="001465BA" w:rsidRDefault="001465BA" w:rsidP="00113BFC">
            <w:pPr>
              <w:tabs>
                <w:tab w:val="left" w:pos="1365"/>
              </w:tabs>
              <w:spacing w:before="60" w:after="60"/>
              <w:jc w:val="center"/>
              <w:rPr>
                <w:rFonts w:ascii="Calibri Light" w:hAnsi="Calibri Light"/>
                <w:b/>
                <w:color w:val="FFFFFF" w:themeColor="background1"/>
                <w:u w:val="single"/>
              </w:rPr>
            </w:pPr>
            <w:r w:rsidRPr="001465BA">
              <w:rPr>
                <w:rFonts w:ascii="Calibri Light" w:eastAsia="Calibri" w:hAnsi="Calibri Light"/>
                <w:b/>
                <w:color w:val="FFFFFF" w:themeColor="background1"/>
              </w:rPr>
              <w:t>CAPITAL HUMANO E SERVIÇOS ESPECIALIZADOS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2texto"/>
              <w:rPr>
                <w:rFonts w:ascii="Calibri Light" w:eastAsia="Calibri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eastAsia="Calibri" w:hAnsi="Calibri Light"/>
                <w:b/>
                <w:noProof/>
                <w:color w:val="5B9BD5" w:themeColor="accent1"/>
                <w:sz w:val="22"/>
                <w:szCs w:val="22"/>
                <w:lang w:eastAsia="pt-PT"/>
              </w:rPr>
              <w:drawing>
                <wp:anchor distT="0" distB="0" distL="114300" distR="114300" simplePos="0" relativeHeight="251669504" behindDoc="1" locked="0" layoutInCell="1" allowOverlap="1" wp14:anchorId="36CA76C8" wp14:editId="103B9F7D">
                  <wp:simplePos x="1152525" y="1533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613544" cy="3420000"/>
                  <wp:effectExtent l="0" t="0" r="6350" b="0"/>
                  <wp:wrapSquare wrapText="bothSides"/>
                  <wp:docPr id="69" name="Imagem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544" cy="34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5BA" w:rsidRPr="001465BA" w:rsidTr="00113BFC">
        <w:trPr>
          <w:trHeight w:val="283"/>
        </w:trPr>
        <w:tc>
          <w:tcPr>
            <w:tcW w:w="9067" w:type="dxa"/>
            <w:shd w:val="clear" w:color="auto" w:fill="9CC2E5" w:themeFill="accent1" w:themeFillTint="99"/>
            <w:vAlign w:val="center"/>
          </w:tcPr>
          <w:p w:rsidR="001465BA" w:rsidRPr="001465BA" w:rsidRDefault="001465BA" w:rsidP="00113BFC">
            <w:pPr>
              <w:pStyle w:val="2texto"/>
              <w:spacing w:before="60" w:after="60" w:line="240" w:lineRule="auto"/>
              <w:jc w:val="center"/>
              <w:rPr>
                <w:rFonts w:ascii="Calibri Light" w:hAnsi="Calibri Light"/>
                <w:b/>
                <w:color w:val="1F4E79" w:themeColor="accent1" w:themeShade="80"/>
                <w:sz w:val="22"/>
                <w:szCs w:val="22"/>
              </w:rPr>
            </w:pPr>
            <w:r w:rsidRPr="001465BA">
              <w:rPr>
                <w:rFonts w:ascii="Calibri Light" w:hAnsi="Calibri Light"/>
                <w:b/>
                <w:color w:val="FFFFFF" w:themeColor="background1"/>
                <w:sz w:val="22"/>
                <w:szCs w:val="22"/>
              </w:rPr>
              <w:t>RACIONAL</w:t>
            </w:r>
          </w:p>
        </w:tc>
      </w:tr>
      <w:tr w:rsidR="001465BA" w:rsidRPr="001465BA" w:rsidTr="00113BFC">
        <w:tc>
          <w:tcPr>
            <w:tcW w:w="9067" w:type="dxa"/>
          </w:tcPr>
          <w:p w:rsidR="001465BA" w:rsidRPr="001465BA" w:rsidRDefault="001465BA" w:rsidP="00113BFC">
            <w:pPr>
              <w:pStyle w:val="NormalWeb"/>
              <w:spacing w:before="120" w:beforeAutospacing="0" w:after="120" w:afterAutospacing="0"/>
              <w:jc w:val="both"/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</w:pPr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Promoção de competências acumuladas na área </w:t>
            </w:r>
            <w:proofErr w:type="gramStart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>das TIC</w:t>
            </w:r>
            <w:proofErr w:type="gramEnd"/>
            <w:r w:rsidRPr="001465BA">
              <w:rPr>
                <w:rFonts w:ascii="Calibri Light" w:eastAsia="Verdana" w:hAnsi="Calibri Light" w:cs="Verdana"/>
                <w:color w:val="1F4E79" w:themeColor="accent1" w:themeShade="80"/>
                <w:kern w:val="24"/>
                <w:sz w:val="22"/>
                <w:szCs w:val="22"/>
              </w:rPr>
              <w:t xml:space="preserve"> (em particular, no desenvolvimento de aplicações multimédia e na programação e engenharia de sistemas), para o desenvolvimento de soluções de governo eletrónico, a desmaterialização de processos e, em associação com a reconversão de capital humano, o aproveitamento das tendências para operações de Serviços Especializados para localizações de proximidade (centros de engenharia, de serviços partilhados e de contacto).</w:t>
            </w:r>
          </w:p>
        </w:tc>
      </w:tr>
    </w:tbl>
    <w:p w:rsidR="001465BA" w:rsidRPr="001465BA" w:rsidRDefault="001465BA" w:rsidP="001465BA">
      <w:pPr>
        <w:rPr>
          <w:rFonts w:ascii="Calibri Light" w:hAnsi="Calibri Light"/>
          <w:b/>
        </w:rPr>
      </w:pPr>
    </w:p>
    <w:p w:rsidR="001465BA" w:rsidRPr="001465BA" w:rsidRDefault="001465BA" w:rsidP="001465BA">
      <w:pPr>
        <w:rPr>
          <w:rFonts w:ascii="Calibri Light" w:hAnsi="Calibri Light"/>
        </w:rPr>
      </w:pPr>
    </w:p>
    <w:p w:rsidR="001465BA" w:rsidRPr="00AF64FC" w:rsidRDefault="001465BA" w:rsidP="001465BA">
      <w:pPr>
        <w:jc w:val="center"/>
        <w:rPr>
          <w:b/>
          <w:sz w:val="28"/>
          <w:szCs w:val="28"/>
        </w:rPr>
      </w:pPr>
    </w:p>
    <w:sectPr w:rsidR="001465BA" w:rsidRPr="00AF64FC" w:rsidSect="001465BA">
      <w:headerReference w:type="default" r:id="rId16"/>
      <w:pgSz w:w="11906" w:h="16838"/>
      <w:pgMar w:top="1418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0B" w:rsidRDefault="00FD170B" w:rsidP="00401EFD">
      <w:pPr>
        <w:spacing w:after="0" w:line="240" w:lineRule="auto"/>
      </w:pPr>
      <w:r>
        <w:separator/>
      </w:r>
    </w:p>
  </w:endnote>
  <w:endnote w:type="continuationSeparator" w:id="0">
    <w:p w:rsidR="00FD170B" w:rsidRDefault="00FD170B" w:rsidP="0040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0B" w:rsidRDefault="00FD170B" w:rsidP="00401EFD">
      <w:pPr>
        <w:spacing w:after="0" w:line="240" w:lineRule="auto"/>
      </w:pPr>
      <w:r>
        <w:separator/>
      </w:r>
    </w:p>
  </w:footnote>
  <w:footnote w:type="continuationSeparator" w:id="0">
    <w:p w:rsidR="00FD170B" w:rsidRDefault="00FD170B" w:rsidP="00401EFD">
      <w:pPr>
        <w:spacing w:after="0" w:line="240" w:lineRule="auto"/>
      </w:pPr>
      <w:r>
        <w:continuationSeparator/>
      </w:r>
    </w:p>
  </w:footnote>
  <w:footnote w:id="1">
    <w:p w:rsidR="001465BA" w:rsidRDefault="001465BA" w:rsidP="001465BA">
      <w:pPr>
        <w:pStyle w:val="Textodenotaderodap"/>
      </w:pPr>
      <w:r>
        <w:rPr>
          <w:rStyle w:val="Refdenotaderodap"/>
        </w:rPr>
        <w:footnoteRef/>
      </w:r>
      <w:r>
        <w:t xml:space="preserve"> D</w:t>
      </w:r>
      <w:r w:rsidRPr="00D2114C">
        <w:t>isponível em http://norte2020.pt/sites/default/files/public/uploads/documentos/norte2020_ris3.pdf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EFD" w:rsidRDefault="00401EFD" w:rsidP="00AE6250">
    <w:pPr>
      <w:tabs>
        <w:tab w:val="left" w:pos="8364"/>
      </w:tabs>
      <w:spacing w:after="0" w:line="240" w:lineRule="auto"/>
      <w:rPr>
        <w:rFonts w:ascii="Times New Roman" w:hAnsi="Times New Roman" w:cs="Times New Roman"/>
        <w:sz w:val="24"/>
        <w:szCs w:val="24"/>
        <w:lang w:eastAsia="pt-PT"/>
      </w:rPr>
    </w:pPr>
    <w:r>
      <w:rPr>
        <w:noProof/>
        <w:lang w:eastAsia="pt-PT"/>
      </w:rPr>
      <w:drawing>
        <wp:inline distT="0" distB="0" distL="0" distR="0" wp14:anchorId="29523AD7" wp14:editId="52A803A6">
          <wp:extent cx="2358073" cy="400050"/>
          <wp:effectExtent l="0" t="0" r="444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95" cy="401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465BA" w:rsidRPr="0084453E">
      <w:rPr>
        <w:noProof/>
        <w:lang w:eastAsia="pt-PT"/>
      </w:rPr>
      <w:drawing>
        <wp:inline distT="0" distB="0" distL="0" distR="0" wp14:anchorId="573A3416" wp14:editId="6EED1D03">
          <wp:extent cx="1809946" cy="48514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824397" cy="489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6250" w:rsidRPr="00AE6250">
      <w:rPr>
        <w:rFonts w:ascii="Times New Roman" w:hAnsi="Times New Roman" w:cs="Times New Roman"/>
        <w:noProof/>
        <w:sz w:val="24"/>
        <w:szCs w:val="24"/>
        <w:lang w:eastAsia="pt-PT"/>
      </w:rPr>
      <w:drawing>
        <wp:inline distT="0" distB="0" distL="0" distR="0">
          <wp:extent cx="1152525" cy="491271"/>
          <wp:effectExtent l="19050" t="0" r="9525" b="0"/>
          <wp:docPr id="1" name="Imagem 6" descr="C:\Users\Utilizador\Desktop\LOGOS E LOMBADAS\LOGOS, LOMBADAS  E APRESENTAÇÔES\LOGOS E FOTOS\NOVO LOGO CORA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01EFD" w:rsidRPr="005E414F" w:rsidRDefault="00401EFD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4531B"/>
    <w:multiLevelType w:val="hybridMultilevel"/>
    <w:tmpl w:val="F0385E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753DC"/>
    <w:multiLevelType w:val="hybridMultilevel"/>
    <w:tmpl w:val="345ABF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EE7"/>
    <w:rsid w:val="00034A97"/>
    <w:rsid w:val="000B0E44"/>
    <w:rsid w:val="000C422C"/>
    <w:rsid w:val="000F4C75"/>
    <w:rsid w:val="001465BA"/>
    <w:rsid w:val="001631B1"/>
    <w:rsid w:val="00192268"/>
    <w:rsid w:val="001C18E1"/>
    <w:rsid w:val="001D1C9D"/>
    <w:rsid w:val="002C22E9"/>
    <w:rsid w:val="00343D3F"/>
    <w:rsid w:val="003950DA"/>
    <w:rsid w:val="003E3953"/>
    <w:rsid w:val="00401EFD"/>
    <w:rsid w:val="00412A0C"/>
    <w:rsid w:val="00472044"/>
    <w:rsid w:val="004A2E54"/>
    <w:rsid w:val="004D3222"/>
    <w:rsid w:val="004D486A"/>
    <w:rsid w:val="004F7199"/>
    <w:rsid w:val="00563B8C"/>
    <w:rsid w:val="005E414F"/>
    <w:rsid w:val="005E5F72"/>
    <w:rsid w:val="005E6007"/>
    <w:rsid w:val="00685A24"/>
    <w:rsid w:val="00874EE7"/>
    <w:rsid w:val="009145C5"/>
    <w:rsid w:val="009B3935"/>
    <w:rsid w:val="009B69B8"/>
    <w:rsid w:val="00A209BC"/>
    <w:rsid w:val="00AA6C60"/>
    <w:rsid w:val="00AB326B"/>
    <w:rsid w:val="00AE6250"/>
    <w:rsid w:val="00AF64FC"/>
    <w:rsid w:val="00C1038E"/>
    <w:rsid w:val="00C66D75"/>
    <w:rsid w:val="00CD2630"/>
    <w:rsid w:val="00D000BF"/>
    <w:rsid w:val="00D128EE"/>
    <w:rsid w:val="00D60967"/>
    <w:rsid w:val="00D87E51"/>
    <w:rsid w:val="00D93ADD"/>
    <w:rsid w:val="00DC3378"/>
    <w:rsid w:val="00DD19D7"/>
    <w:rsid w:val="00E0160D"/>
    <w:rsid w:val="00E01C4B"/>
    <w:rsid w:val="00E5435F"/>
    <w:rsid w:val="00E551EE"/>
    <w:rsid w:val="00E9242F"/>
    <w:rsid w:val="00EF3C14"/>
    <w:rsid w:val="00F2497E"/>
    <w:rsid w:val="00F30AA9"/>
    <w:rsid w:val="00F66A8C"/>
    <w:rsid w:val="00FD170B"/>
    <w:rsid w:val="00FD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610E8-D67E-4EC0-B808-A7CDFA9D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E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7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874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4EE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C18E1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C422C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401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1EFD"/>
  </w:style>
  <w:style w:type="paragraph" w:styleId="Rodap">
    <w:name w:val="footer"/>
    <w:basedOn w:val="Normal"/>
    <w:link w:val="RodapCarter"/>
    <w:uiPriority w:val="99"/>
    <w:unhideWhenUsed/>
    <w:rsid w:val="00401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1EFD"/>
  </w:style>
  <w:style w:type="character" w:styleId="Refdecomentrio">
    <w:name w:val="annotation reference"/>
    <w:basedOn w:val="Tipodeletrapredefinidodopargrafo"/>
    <w:uiPriority w:val="99"/>
    <w:semiHidden/>
    <w:unhideWhenUsed/>
    <w:rsid w:val="00401EF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146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33"/>
      <w:sz w:val="18"/>
      <w:szCs w:val="18"/>
      <w:lang w:eastAsia="pt-PT"/>
    </w:rPr>
  </w:style>
  <w:style w:type="paragraph" w:customStyle="1" w:styleId="2texto">
    <w:name w:val="2 texto"/>
    <w:basedOn w:val="Normal"/>
    <w:link w:val="2textoChar"/>
    <w:qFormat/>
    <w:rsid w:val="001465BA"/>
    <w:pPr>
      <w:spacing w:before="120" w:after="120" w:line="340" w:lineRule="exact"/>
      <w:jc w:val="both"/>
    </w:pPr>
    <w:rPr>
      <w:rFonts w:ascii="Calibri" w:eastAsia="Times New Roman" w:hAnsi="Calibri" w:cs="Times New Roman"/>
      <w:bCs/>
      <w:color w:val="3D3D3D"/>
      <w:sz w:val="20"/>
      <w:szCs w:val="20"/>
    </w:rPr>
  </w:style>
  <w:style w:type="character" w:customStyle="1" w:styleId="2textoChar">
    <w:name w:val="2 texto Char"/>
    <w:link w:val="2texto"/>
    <w:rsid w:val="001465BA"/>
    <w:rPr>
      <w:rFonts w:ascii="Calibri" w:eastAsia="Times New Roman" w:hAnsi="Calibri" w:cs="Times New Roman"/>
      <w:bCs/>
      <w:color w:val="3D3D3D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465B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465B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465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1047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Guimaraes</dc:creator>
  <cp:keywords/>
  <dc:description/>
  <cp:lastModifiedBy>Carla Alvim</cp:lastModifiedBy>
  <cp:revision>8</cp:revision>
  <dcterms:created xsi:type="dcterms:W3CDTF">2017-05-16T19:56:00Z</dcterms:created>
  <dcterms:modified xsi:type="dcterms:W3CDTF">2017-06-08T17:53:00Z</dcterms:modified>
</cp:coreProperties>
</file>